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8D" w:rsidRDefault="0092638D" w:rsidP="0092638D">
      <w:pPr>
        <w:spacing w:before="60"/>
        <w:jc w:val="center"/>
        <w:rPr>
          <w:b/>
          <w:sz w:val="24"/>
          <w:szCs w:val="24"/>
        </w:rPr>
      </w:pPr>
      <w:r w:rsidRPr="00F12C37">
        <w:rPr>
          <w:b/>
          <w:sz w:val="24"/>
          <w:szCs w:val="24"/>
          <w:lang w:val="ru-RU"/>
        </w:rPr>
        <w:t>УКРАЇНА</w:t>
      </w:r>
    </w:p>
    <w:p w:rsidR="0092638D" w:rsidRPr="004D2792" w:rsidRDefault="0092638D" w:rsidP="0092638D">
      <w:pPr>
        <w:spacing w:before="60"/>
        <w:jc w:val="center"/>
        <w:rPr>
          <w:b/>
          <w:sz w:val="28"/>
          <w:szCs w:val="28"/>
        </w:rPr>
      </w:pPr>
    </w:p>
    <w:p w:rsidR="0092638D" w:rsidRPr="002F5B42" w:rsidRDefault="0092638D" w:rsidP="0092638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2F5B42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92638D" w:rsidRPr="004D2792" w:rsidRDefault="0092638D" w:rsidP="0092638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92638D" w:rsidRDefault="0092638D" w:rsidP="0092638D">
      <w:pPr>
        <w:spacing w:before="60"/>
        <w:jc w:val="center"/>
        <w:rPr>
          <w:b/>
          <w:spacing w:val="200"/>
          <w:sz w:val="28"/>
          <w:szCs w:val="28"/>
        </w:rPr>
      </w:pPr>
      <w:r w:rsidRPr="002F5B42">
        <w:rPr>
          <w:b/>
          <w:sz w:val="28"/>
          <w:szCs w:val="28"/>
        </w:rPr>
        <w:t>УПРАВЛІННЯ КАПІТАЛЬНОГО БУДІВНИЦТВА</w:t>
      </w:r>
    </w:p>
    <w:p w:rsidR="0092638D" w:rsidRDefault="0092638D" w:rsidP="0092638D">
      <w:pPr>
        <w:spacing w:before="60"/>
        <w:jc w:val="center"/>
        <w:rPr>
          <w:b/>
          <w:spacing w:val="200"/>
          <w:sz w:val="28"/>
          <w:szCs w:val="28"/>
        </w:rPr>
      </w:pPr>
    </w:p>
    <w:p w:rsidR="0092638D" w:rsidRDefault="0092638D" w:rsidP="0092638D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92638D" w:rsidRPr="00B227BB" w:rsidRDefault="0092638D" w:rsidP="0092638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92638D" w:rsidRPr="0061243A" w:rsidTr="0092638D">
        <w:trPr>
          <w:trHeight w:val="620"/>
        </w:trPr>
        <w:tc>
          <w:tcPr>
            <w:tcW w:w="3622" w:type="dxa"/>
          </w:tcPr>
          <w:p w:rsidR="0092638D" w:rsidRPr="0061243A" w:rsidRDefault="0092638D" w:rsidP="003F6204">
            <w:pPr>
              <w:spacing w:before="120"/>
              <w:rPr>
                <w:b/>
                <w:sz w:val="28"/>
                <w:szCs w:val="28"/>
              </w:rPr>
            </w:pPr>
            <w:r w:rsidRPr="0061243A">
              <w:rPr>
                <w:sz w:val="28"/>
                <w:szCs w:val="28"/>
              </w:rPr>
              <w:t xml:space="preserve">від </w:t>
            </w:r>
            <w:r w:rsidR="003F6204">
              <w:rPr>
                <w:sz w:val="28"/>
                <w:szCs w:val="28"/>
                <w:u w:val="single"/>
              </w:rPr>
              <w:t>10</w:t>
            </w:r>
            <w:r w:rsidRPr="0061243A">
              <w:rPr>
                <w:sz w:val="28"/>
                <w:szCs w:val="28"/>
              </w:rPr>
              <w:t xml:space="preserve"> </w:t>
            </w:r>
            <w:r w:rsidR="003F6204">
              <w:rPr>
                <w:sz w:val="28"/>
                <w:szCs w:val="28"/>
                <w:u w:val="single"/>
              </w:rPr>
              <w:t>березня</w:t>
            </w:r>
            <w:r w:rsidRPr="0061243A">
              <w:rPr>
                <w:sz w:val="28"/>
                <w:szCs w:val="28"/>
              </w:rPr>
              <w:t xml:space="preserve"> 202</w:t>
            </w:r>
            <w:r w:rsidR="00794304">
              <w:rPr>
                <w:sz w:val="28"/>
                <w:szCs w:val="28"/>
              </w:rPr>
              <w:t>5</w:t>
            </w:r>
            <w:r w:rsidR="00C40006" w:rsidRPr="0061243A">
              <w:rPr>
                <w:sz w:val="28"/>
                <w:szCs w:val="28"/>
              </w:rPr>
              <w:t xml:space="preserve"> </w:t>
            </w:r>
            <w:r w:rsidRPr="0061243A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92638D" w:rsidRPr="0061243A" w:rsidRDefault="0092638D" w:rsidP="0092638D">
            <w:pPr>
              <w:spacing w:before="120"/>
              <w:rPr>
                <w:sz w:val="28"/>
                <w:szCs w:val="28"/>
              </w:rPr>
            </w:pPr>
            <w:r w:rsidRPr="0061243A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92638D" w:rsidRPr="0061243A" w:rsidRDefault="0092638D" w:rsidP="003F620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61243A">
              <w:rPr>
                <w:sz w:val="28"/>
                <w:szCs w:val="28"/>
              </w:rPr>
              <w:t xml:space="preserve">      № </w:t>
            </w:r>
            <w:r w:rsidR="003F6204">
              <w:rPr>
                <w:sz w:val="28"/>
                <w:szCs w:val="28"/>
                <w:u w:val="single"/>
              </w:rPr>
              <w:t>47</w:t>
            </w:r>
          </w:p>
        </w:tc>
      </w:tr>
    </w:tbl>
    <w:p w:rsidR="007E7E1D" w:rsidRPr="0061243A" w:rsidRDefault="007E7E1D" w:rsidP="007E7E1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1243A" w:rsidRPr="0061243A" w:rsidRDefault="0061243A" w:rsidP="0061243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1243A">
        <w:rPr>
          <w:rFonts w:ascii="Times New Roman" w:hAnsi="Times New Roman"/>
          <w:b/>
          <w:i/>
          <w:sz w:val="28"/>
          <w:szCs w:val="28"/>
          <w:lang w:val="uk-UA"/>
        </w:rPr>
        <w:t>Про встановлення розміру</w:t>
      </w:r>
    </w:p>
    <w:p w:rsidR="0061243A" w:rsidRPr="0061243A" w:rsidRDefault="0061243A" w:rsidP="0061243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1243A">
        <w:rPr>
          <w:rFonts w:ascii="Times New Roman" w:hAnsi="Times New Roman"/>
          <w:b/>
          <w:i/>
          <w:sz w:val="28"/>
          <w:szCs w:val="28"/>
          <w:lang w:val="uk-UA"/>
        </w:rPr>
        <w:t>кошторисної заробітної плати,</w:t>
      </w:r>
    </w:p>
    <w:p w:rsidR="0061243A" w:rsidRPr="0061243A" w:rsidRDefault="0061243A" w:rsidP="0061243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1243A">
        <w:rPr>
          <w:rFonts w:ascii="Times New Roman" w:hAnsi="Times New Roman"/>
          <w:b/>
          <w:i/>
          <w:sz w:val="28"/>
          <w:szCs w:val="28"/>
          <w:lang w:val="uk-UA"/>
        </w:rPr>
        <w:t xml:space="preserve">який враховується при визначенні </w:t>
      </w:r>
    </w:p>
    <w:p w:rsidR="0061243A" w:rsidRPr="0061243A" w:rsidRDefault="0061243A" w:rsidP="0061243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1243A">
        <w:rPr>
          <w:rFonts w:ascii="Times New Roman" w:hAnsi="Times New Roman"/>
          <w:b/>
          <w:i/>
          <w:sz w:val="28"/>
          <w:szCs w:val="28"/>
          <w:lang w:val="uk-UA"/>
        </w:rPr>
        <w:t xml:space="preserve">вартості будівництва об’єкта, </w:t>
      </w:r>
    </w:p>
    <w:p w:rsidR="0061243A" w:rsidRPr="0061243A" w:rsidRDefault="0061243A" w:rsidP="0061243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1243A">
        <w:rPr>
          <w:rFonts w:ascii="Times New Roman" w:hAnsi="Times New Roman"/>
          <w:b/>
          <w:i/>
          <w:sz w:val="28"/>
          <w:szCs w:val="28"/>
          <w:lang w:val="uk-UA"/>
        </w:rPr>
        <w:t xml:space="preserve">замовником на </w:t>
      </w:r>
      <w:proofErr w:type="spellStart"/>
      <w:r w:rsidRPr="0061243A">
        <w:rPr>
          <w:rFonts w:ascii="Times New Roman" w:hAnsi="Times New Roman"/>
          <w:b/>
          <w:i/>
          <w:sz w:val="28"/>
          <w:szCs w:val="28"/>
          <w:lang w:val="uk-UA"/>
        </w:rPr>
        <w:t>про</w:t>
      </w:r>
      <w:r w:rsidR="00794304"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r w:rsidRPr="0061243A">
        <w:rPr>
          <w:rFonts w:ascii="Times New Roman" w:hAnsi="Times New Roman"/>
          <w:b/>
          <w:i/>
          <w:sz w:val="28"/>
          <w:szCs w:val="28"/>
          <w:lang w:val="uk-UA"/>
        </w:rPr>
        <w:t>ктні</w:t>
      </w:r>
      <w:proofErr w:type="spellEnd"/>
      <w:r w:rsidRPr="0061243A">
        <w:rPr>
          <w:rFonts w:ascii="Times New Roman" w:hAnsi="Times New Roman"/>
          <w:b/>
          <w:i/>
          <w:sz w:val="28"/>
          <w:szCs w:val="28"/>
          <w:lang w:val="uk-UA"/>
        </w:rPr>
        <w:t xml:space="preserve"> роботи </w:t>
      </w:r>
    </w:p>
    <w:p w:rsidR="0061243A" w:rsidRPr="0061243A" w:rsidRDefault="0061243A" w:rsidP="0061243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1243A">
        <w:rPr>
          <w:rFonts w:ascii="Times New Roman" w:hAnsi="Times New Roman"/>
          <w:b/>
          <w:i/>
          <w:sz w:val="28"/>
          <w:szCs w:val="28"/>
          <w:lang w:val="uk-UA"/>
        </w:rPr>
        <w:t xml:space="preserve">якого є Управління капітального </w:t>
      </w:r>
    </w:p>
    <w:p w:rsidR="0061243A" w:rsidRPr="0061243A" w:rsidRDefault="0061243A" w:rsidP="0061243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1243A">
        <w:rPr>
          <w:rFonts w:ascii="Times New Roman" w:hAnsi="Times New Roman"/>
          <w:b/>
          <w:i/>
          <w:sz w:val="28"/>
          <w:szCs w:val="28"/>
          <w:lang w:val="uk-UA"/>
        </w:rPr>
        <w:t xml:space="preserve">будівництва Чернігівської </w:t>
      </w:r>
    </w:p>
    <w:p w:rsidR="002B33F7" w:rsidRPr="0061243A" w:rsidRDefault="0061243A" w:rsidP="0061243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1243A">
        <w:rPr>
          <w:rFonts w:ascii="Times New Roman" w:hAnsi="Times New Roman"/>
          <w:b/>
          <w:i/>
          <w:sz w:val="28"/>
          <w:szCs w:val="28"/>
          <w:lang w:val="uk-UA"/>
        </w:rPr>
        <w:t>облдержадміністрації</w:t>
      </w:r>
      <w:r w:rsidR="002B33F7" w:rsidRPr="0061243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C40006" w:rsidRPr="0061243A" w:rsidRDefault="00C40006" w:rsidP="007E7E1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0006" w:rsidRPr="0061243A" w:rsidRDefault="00C40006" w:rsidP="00C40006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243A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792001" w:rsidRPr="0061243A">
        <w:rPr>
          <w:rFonts w:ascii="Times New Roman" w:hAnsi="Times New Roman"/>
          <w:sz w:val="28"/>
          <w:szCs w:val="28"/>
          <w:lang w:val="uk-UA"/>
        </w:rPr>
        <w:t xml:space="preserve"> статей 6, 41 Закону України «Про місцеві державні адміністрації»,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792001" w:rsidRPr="0061243A">
        <w:rPr>
          <w:rFonts w:ascii="Times New Roman" w:hAnsi="Times New Roman"/>
          <w:sz w:val="28"/>
          <w:szCs w:val="28"/>
          <w:lang w:val="uk-UA"/>
        </w:rPr>
        <w:t>ункту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001" w:rsidRPr="0061243A"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Порядку розрахунку розміру кошторисної заробітної плати, який враховується при визначенні вартості </w:t>
      </w:r>
      <w:r w:rsidR="00792001" w:rsidRPr="0061243A">
        <w:rPr>
          <w:rFonts w:ascii="Times New Roman" w:hAnsi="Times New Roman"/>
          <w:sz w:val="28"/>
          <w:szCs w:val="28"/>
          <w:lang w:val="uk-UA"/>
        </w:rPr>
        <w:t>будівництва об’єктів</w:t>
      </w:r>
      <w:r w:rsidRPr="0061243A">
        <w:rPr>
          <w:rFonts w:ascii="Times New Roman" w:hAnsi="Times New Roman"/>
          <w:sz w:val="28"/>
          <w:szCs w:val="28"/>
          <w:lang w:val="uk-UA"/>
        </w:rPr>
        <w:t>, затвердженого наказом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Міністерства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регіонального розвитку,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будівництва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та житлово-комунального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господарства України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 жовтня 2016 року № 281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(у редакції наказу Міністерства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регіонального розвитку,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будівництва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та житлово-комунального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господарства України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27 липня 2018 року № 196)</w:t>
      </w:r>
      <w:r w:rsidR="00792001" w:rsidRPr="0061243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зареєстрованого в Міністерстві юстиції України 16.08.2018 за № 931/32383</w:t>
      </w:r>
      <w:r w:rsidR="006F795F"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3F7" w:rsidRPr="0061243A">
        <w:rPr>
          <w:rFonts w:ascii="Times New Roman" w:hAnsi="Times New Roman"/>
          <w:sz w:val="28"/>
          <w:szCs w:val="28"/>
          <w:lang w:val="uk-UA"/>
        </w:rPr>
        <w:t xml:space="preserve">та у зв’язку з оприлюдненням інформації щодо середньомісячної заробітної плати </w:t>
      </w:r>
      <w:r w:rsidR="00B54E72" w:rsidRPr="0061243A">
        <w:rPr>
          <w:rFonts w:ascii="Times New Roman" w:hAnsi="Times New Roman"/>
          <w:sz w:val="28"/>
          <w:szCs w:val="28"/>
          <w:lang w:val="uk-UA"/>
        </w:rPr>
        <w:t>у будівництві за попередній рік на офіційному сайті Державної служби статистики України</w:t>
      </w:r>
      <w:r w:rsidR="0061243A">
        <w:rPr>
          <w:rFonts w:ascii="Times New Roman" w:hAnsi="Times New Roman"/>
          <w:sz w:val="28"/>
          <w:szCs w:val="28"/>
          <w:lang w:val="uk-UA"/>
        </w:rPr>
        <w:t>,</w:t>
      </w:r>
      <w:r w:rsidR="002B33F7" w:rsidRPr="0061243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0006" w:rsidRPr="0061243A" w:rsidRDefault="00C40006" w:rsidP="00C40006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243A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40006" w:rsidRPr="0061243A" w:rsidRDefault="00C40006" w:rsidP="007E7E1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7E1D" w:rsidRPr="0061243A" w:rsidRDefault="007E7E1D" w:rsidP="007E7E1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243A">
        <w:rPr>
          <w:rFonts w:ascii="Times New Roman" w:hAnsi="Times New Roman"/>
          <w:sz w:val="28"/>
          <w:szCs w:val="28"/>
          <w:lang w:val="uk-UA"/>
        </w:rPr>
        <w:t>1. Встановити на підставі розрахунку (додається)</w:t>
      </w:r>
      <w:r w:rsidR="006F795F" w:rsidRPr="0061243A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794304">
        <w:rPr>
          <w:rFonts w:ascii="Times New Roman" w:hAnsi="Times New Roman"/>
          <w:sz w:val="28"/>
          <w:szCs w:val="28"/>
          <w:lang w:val="uk-UA"/>
        </w:rPr>
        <w:t>5</w:t>
      </w:r>
      <w:r w:rsidR="006F795F" w:rsidRPr="0061243A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розмір кошторисної заробітної плати при визначенні вартості будівництва (нового будівництва, реконструкції, реставрації, капітального ремонту</w:t>
      </w:r>
      <w:r w:rsidR="00690DF5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технічного переоснащення) об’єктів, що споруджуються із залученням бюджетних коштів, коштів державних і комунальних підприємств, установ та організацій, а також кредитів, наданих під державні гарантії в розмірі </w:t>
      </w:r>
      <w:r w:rsidR="00794304">
        <w:rPr>
          <w:rFonts w:ascii="Times New Roman" w:hAnsi="Times New Roman"/>
          <w:sz w:val="28"/>
          <w:szCs w:val="28"/>
          <w:lang w:val="uk-UA"/>
        </w:rPr>
        <w:t>18 571</w:t>
      </w:r>
      <w:r w:rsidRPr="0061243A">
        <w:rPr>
          <w:rFonts w:ascii="Times New Roman" w:hAnsi="Times New Roman"/>
          <w:sz w:val="28"/>
          <w:szCs w:val="28"/>
          <w:lang w:val="uk-UA"/>
        </w:rPr>
        <w:t xml:space="preserve"> грив</w:t>
      </w:r>
      <w:r w:rsidR="00794304">
        <w:rPr>
          <w:rFonts w:ascii="Times New Roman" w:hAnsi="Times New Roman"/>
          <w:sz w:val="28"/>
          <w:szCs w:val="28"/>
          <w:lang w:val="uk-UA"/>
        </w:rPr>
        <w:t>ня</w:t>
      </w:r>
      <w:r w:rsidR="000E6775" w:rsidRPr="0061243A">
        <w:rPr>
          <w:rFonts w:ascii="Times New Roman" w:hAnsi="Times New Roman"/>
          <w:sz w:val="28"/>
          <w:szCs w:val="28"/>
          <w:lang w:val="uk-UA"/>
        </w:rPr>
        <w:t>, що відповідає середньому розряду складності робіт 3,8</w:t>
      </w:r>
      <w:r w:rsidR="002B33F7" w:rsidRPr="0061243A">
        <w:rPr>
          <w:rFonts w:ascii="Times New Roman" w:hAnsi="Times New Roman"/>
          <w:sz w:val="28"/>
          <w:szCs w:val="28"/>
          <w:lang w:val="uk-UA"/>
        </w:rPr>
        <w:t>.</w:t>
      </w:r>
    </w:p>
    <w:p w:rsidR="0061243A" w:rsidRPr="0061243A" w:rsidRDefault="00720265" w:rsidP="0061243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1243A" w:rsidRPr="0061243A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61243A" w:rsidRDefault="0061243A" w:rsidP="0061243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0DF5" w:rsidRPr="0061243A" w:rsidRDefault="00690DF5" w:rsidP="0061243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A9C" w:rsidRDefault="007E7E1D" w:rsidP="006F795F">
      <w:pPr>
        <w:widowControl w:val="0"/>
        <w:jc w:val="both"/>
        <w:rPr>
          <w:sz w:val="28"/>
          <w:szCs w:val="28"/>
        </w:rPr>
      </w:pPr>
      <w:r w:rsidRPr="0061243A">
        <w:rPr>
          <w:sz w:val="28"/>
          <w:szCs w:val="28"/>
        </w:rPr>
        <w:t>Начальник</w:t>
      </w:r>
      <w:r w:rsidRPr="0061243A">
        <w:rPr>
          <w:sz w:val="28"/>
          <w:szCs w:val="28"/>
        </w:rPr>
        <w:tab/>
      </w:r>
      <w:r w:rsidRPr="0061243A">
        <w:rPr>
          <w:sz w:val="28"/>
          <w:szCs w:val="28"/>
        </w:rPr>
        <w:tab/>
      </w:r>
      <w:r w:rsidRPr="0061243A">
        <w:rPr>
          <w:sz w:val="28"/>
          <w:szCs w:val="28"/>
        </w:rPr>
        <w:tab/>
        <w:t xml:space="preserve">     </w:t>
      </w:r>
      <w:r w:rsidRPr="0061243A">
        <w:rPr>
          <w:sz w:val="28"/>
          <w:szCs w:val="28"/>
        </w:rPr>
        <w:tab/>
      </w:r>
      <w:r w:rsidRPr="0061243A">
        <w:rPr>
          <w:sz w:val="28"/>
          <w:szCs w:val="28"/>
        </w:rPr>
        <w:tab/>
      </w:r>
      <w:r w:rsidRPr="0061243A">
        <w:rPr>
          <w:sz w:val="28"/>
          <w:szCs w:val="28"/>
        </w:rPr>
        <w:tab/>
      </w:r>
      <w:r w:rsidRPr="0061243A">
        <w:rPr>
          <w:sz w:val="28"/>
          <w:szCs w:val="28"/>
        </w:rPr>
        <w:tab/>
      </w:r>
      <w:r w:rsidR="00A01A8E" w:rsidRPr="0061243A">
        <w:rPr>
          <w:sz w:val="28"/>
          <w:szCs w:val="28"/>
        </w:rPr>
        <w:t xml:space="preserve">         Ярослав СЛЄСАРЕНКО</w:t>
      </w:r>
    </w:p>
    <w:p w:rsidR="00D61A9C" w:rsidRPr="007C4B89" w:rsidRDefault="00D61A9C" w:rsidP="00D61A9C">
      <w:pPr>
        <w:ind w:left="5103"/>
        <w:jc w:val="both"/>
        <w:rPr>
          <w:sz w:val="28"/>
          <w:szCs w:val="28"/>
        </w:rPr>
      </w:pPr>
      <w:r w:rsidRPr="007C4B89">
        <w:rPr>
          <w:sz w:val="28"/>
          <w:szCs w:val="28"/>
        </w:rPr>
        <w:lastRenderedPageBreak/>
        <w:t>Додаток</w:t>
      </w:r>
    </w:p>
    <w:p w:rsidR="00D61A9C" w:rsidRPr="007C4B89" w:rsidRDefault="00D61A9C" w:rsidP="00D61A9C">
      <w:pPr>
        <w:ind w:left="5103"/>
        <w:jc w:val="both"/>
        <w:rPr>
          <w:sz w:val="28"/>
          <w:szCs w:val="28"/>
        </w:rPr>
      </w:pPr>
      <w:r w:rsidRPr="007C4B89">
        <w:rPr>
          <w:sz w:val="28"/>
          <w:szCs w:val="28"/>
        </w:rPr>
        <w:t xml:space="preserve">до наказу начальника Управління капітального будівництва обласної </w:t>
      </w:r>
    </w:p>
    <w:p w:rsidR="00D61A9C" w:rsidRPr="007C4B89" w:rsidRDefault="00D61A9C" w:rsidP="00D61A9C">
      <w:pPr>
        <w:ind w:left="5103"/>
        <w:jc w:val="both"/>
        <w:rPr>
          <w:sz w:val="28"/>
          <w:szCs w:val="28"/>
        </w:rPr>
      </w:pPr>
      <w:r w:rsidRPr="007C4B89">
        <w:rPr>
          <w:sz w:val="28"/>
          <w:szCs w:val="28"/>
        </w:rPr>
        <w:t>державної адміністрації</w:t>
      </w:r>
    </w:p>
    <w:p w:rsidR="00D61A9C" w:rsidRPr="007C4B89" w:rsidRDefault="00D61A9C" w:rsidP="00D61A9C">
      <w:pPr>
        <w:pStyle w:val="10"/>
        <w:ind w:left="5103"/>
        <w:rPr>
          <w:rFonts w:ascii="Times New Roman" w:hAnsi="Times New Roman"/>
          <w:sz w:val="28"/>
          <w:szCs w:val="28"/>
          <w:lang w:val="uk-UA"/>
        </w:rPr>
      </w:pPr>
      <w:r w:rsidRPr="007C4B89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10</w:t>
      </w:r>
      <w:r w:rsidRPr="007C4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3BAF">
        <w:rPr>
          <w:rFonts w:ascii="Times New Roman" w:hAnsi="Times New Roman"/>
          <w:sz w:val="28"/>
          <w:szCs w:val="28"/>
          <w:u w:val="single"/>
          <w:lang w:val="uk-UA"/>
        </w:rPr>
        <w:t>березня</w:t>
      </w:r>
      <w:r w:rsidRPr="007C4B89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C4B89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47</w:t>
      </w:r>
    </w:p>
    <w:p w:rsidR="00D61A9C" w:rsidRPr="007C4B89" w:rsidRDefault="00D61A9C" w:rsidP="00D61A9C">
      <w:pPr>
        <w:jc w:val="center"/>
        <w:rPr>
          <w:sz w:val="28"/>
          <w:szCs w:val="28"/>
        </w:rPr>
      </w:pPr>
    </w:p>
    <w:p w:rsidR="00D61A9C" w:rsidRPr="007C4B89" w:rsidRDefault="00D61A9C" w:rsidP="00D61A9C">
      <w:pPr>
        <w:jc w:val="center"/>
        <w:rPr>
          <w:sz w:val="28"/>
          <w:szCs w:val="28"/>
        </w:rPr>
      </w:pPr>
      <w:r w:rsidRPr="007C4B89">
        <w:rPr>
          <w:sz w:val="28"/>
          <w:szCs w:val="28"/>
        </w:rPr>
        <w:t>Розрахунок</w:t>
      </w:r>
    </w:p>
    <w:p w:rsidR="00D61A9C" w:rsidRPr="007C4B89" w:rsidRDefault="00D61A9C" w:rsidP="00D61A9C">
      <w:pPr>
        <w:jc w:val="center"/>
        <w:rPr>
          <w:sz w:val="28"/>
          <w:szCs w:val="28"/>
        </w:rPr>
      </w:pPr>
      <w:r w:rsidRPr="007C4B89">
        <w:rPr>
          <w:sz w:val="28"/>
          <w:szCs w:val="28"/>
        </w:rPr>
        <w:t xml:space="preserve">розміру кошторисної заробітної плати при визначенні </w:t>
      </w:r>
    </w:p>
    <w:p w:rsidR="00D61A9C" w:rsidRPr="007C4B89" w:rsidRDefault="00D61A9C" w:rsidP="00D61A9C">
      <w:pPr>
        <w:jc w:val="center"/>
        <w:rPr>
          <w:sz w:val="28"/>
          <w:szCs w:val="28"/>
        </w:rPr>
      </w:pPr>
      <w:r w:rsidRPr="007C4B89">
        <w:rPr>
          <w:sz w:val="28"/>
          <w:szCs w:val="28"/>
        </w:rPr>
        <w:t>вартості будівництва об’єктів</w:t>
      </w:r>
    </w:p>
    <w:p w:rsidR="00D61A9C" w:rsidRPr="007C4B89" w:rsidRDefault="00D61A9C" w:rsidP="00D61A9C">
      <w:pPr>
        <w:rPr>
          <w:sz w:val="28"/>
          <w:szCs w:val="28"/>
        </w:rPr>
      </w:pPr>
    </w:p>
    <w:p w:rsidR="00D61A9C" w:rsidRPr="007C4B89" w:rsidRDefault="00D61A9C" w:rsidP="00D61A9C">
      <w:pPr>
        <w:ind w:firstLine="567"/>
        <w:jc w:val="both"/>
        <w:rPr>
          <w:sz w:val="28"/>
          <w:szCs w:val="28"/>
        </w:rPr>
      </w:pPr>
      <w:r w:rsidRPr="007C4B89">
        <w:rPr>
          <w:sz w:val="28"/>
          <w:szCs w:val="28"/>
        </w:rPr>
        <w:t>Відповідно до п. 4 «Порядку розрахунку розміру кошторисної заробітної плати, який враховується при визначенні вартості будівництва об’єктів», затвердженого наказом</w:t>
      </w:r>
      <w:r w:rsidRPr="007C4B89">
        <w:rPr>
          <w:rStyle w:val="rvts9"/>
          <w:bCs/>
          <w:sz w:val="28"/>
          <w:szCs w:val="28"/>
          <w:shd w:val="clear" w:color="auto" w:fill="FFFFFF"/>
        </w:rPr>
        <w:t xml:space="preserve"> Міністерства</w:t>
      </w:r>
      <w:r w:rsidRPr="007C4B89">
        <w:rPr>
          <w:sz w:val="28"/>
          <w:szCs w:val="28"/>
        </w:rPr>
        <w:t xml:space="preserve"> </w:t>
      </w:r>
      <w:r w:rsidRPr="007C4B89">
        <w:rPr>
          <w:rStyle w:val="rvts9"/>
          <w:bCs/>
          <w:sz w:val="28"/>
          <w:szCs w:val="28"/>
          <w:shd w:val="clear" w:color="auto" w:fill="FFFFFF"/>
        </w:rPr>
        <w:t>регіонального розвитку,</w:t>
      </w:r>
      <w:r w:rsidRPr="007C4B89">
        <w:rPr>
          <w:sz w:val="28"/>
          <w:szCs w:val="28"/>
        </w:rPr>
        <w:t xml:space="preserve"> </w:t>
      </w:r>
      <w:r w:rsidRPr="007C4B89">
        <w:rPr>
          <w:rStyle w:val="rvts9"/>
          <w:bCs/>
          <w:sz w:val="28"/>
          <w:szCs w:val="28"/>
          <w:shd w:val="clear" w:color="auto" w:fill="FFFFFF"/>
        </w:rPr>
        <w:t>будівництва</w:t>
      </w:r>
      <w:r w:rsidRPr="007C4B89">
        <w:rPr>
          <w:sz w:val="28"/>
          <w:szCs w:val="28"/>
        </w:rPr>
        <w:t xml:space="preserve"> </w:t>
      </w:r>
      <w:r w:rsidRPr="007C4B89">
        <w:rPr>
          <w:rStyle w:val="rvts9"/>
          <w:bCs/>
          <w:sz w:val="28"/>
          <w:szCs w:val="28"/>
          <w:shd w:val="clear" w:color="auto" w:fill="FFFFFF"/>
        </w:rPr>
        <w:t>та житлово-комунального</w:t>
      </w:r>
      <w:r w:rsidRPr="007C4B89">
        <w:rPr>
          <w:sz w:val="28"/>
          <w:szCs w:val="28"/>
        </w:rPr>
        <w:t xml:space="preserve"> </w:t>
      </w:r>
      <w:r w:rsidRPr="007C4B89">
        <w:rPr>
          <w:rStyle w:val="rvts9"/>
          <w:bCs/>
          <w:sz w:val="28"/>
          <w:szCs w:val="28"/>
          <w:shd w:val="clear" w:color="auto" w:fill="FFFFFF"/>
        </w:rPr>
        <w:t>господарства України</w:t>
      </w:r>
      <w:r w:rsidRPr="007C4B89">
        <w:rPr>
          <w:sz w:val="28"/>
          <w:szCs w:val="28"/>
        </w:rPr>
        <w:t xml:space="preserve"> </w:t>
      </w:r>
      <w:r w:rsidRPr="007C4B89">
        <w:rPr>
          <w:rStyle w:val="rvts9"/>
          <w:bCs/>
          <w:sz w:val="28"/>
          <w:szCs w:val="28"/>
          <w:shd w:val="clear" w:color="auto" w:fill="FFFFFF"/>
        </w:rPr>
        <w:t>20 жовтня 2016 року № 281</w:t>
      </w:r>
      <w:r w:rsidRPr="007C4B89">
        <w:rPr>
          <w:sz w:val="28"/>
          <w:szCs w:val="28"/>
        </w:rPr>
        <w:t xml:space="preserve"> </w:t>
      </w:r>
      <w:r w:rsidRPr="007C4B89">
        <w:rPr>
          <w:rStyle w:val="rvts9"/>
          <w:bCs/>
          <w:sz w:val="28"/>
          <w:szCs w:val="28"/>
          <w:shd w:val="clear" w:color="auto" w:fill="FFFFFF"/>
        </w:rPr>
        <w:t>(у редакції наказу Міністерства</w:t>
      </w:r>
      <w:r w:rsidRPr="007C4B89">
        <w:rPr>
          <w:sz w:val="28"/>
          <w:szCs w:val="28"/>
        </w:rPr>
        <w:t xml:space="preserve"> </w:t>
      </w:r>
      <w:r w:rsidRPr="007C4B89">
        <w:rPr>
          <w:rStyle w:val="rvts9"/>
          <w:bCs/>
          <w:sz w:val="28"/>
          <w:szCs w:val="28"/>
          <w:shd w:val="clear" w:color="auto" w:fill="FFFFFF"/>
        </w:rPr>
        <w:t>регіонального розвитку,</w:t>
      </w:r>
      <w:r w:rsidRPr="007C4B89">
        <w:rPr>
          <w:sz w:val="28"/>
          <w:szCs w:val="28"/>
        </w:rPr>
        <w:t xml:space="preserve"> </w:t>
      </w:r>
      <w:r w:rsidRPr="007C4B89">
        <w:rPr>
          <w:rStyle w:val="rvts9"/>
          <w:bCs/>
          <w:sz w:val="28"/>
          <w:szCs w:val="28"/>
          <w:shd w:val="clear" w:color="auto" w:fill="FFFFFF"/>
        </w:rPr>
        <w:t>будівництва</w:t>
      </w:r>
      <w:r w:rsidRPr="007C4B89">
        <w:rPr>
          <w:sz w:val="28"/>
          <w:szCs w:val="28"/>
        </w:rPr>
        <w:t xml:space="preserve"> </w:t>
      </w:r>
      <w:r w:rsidRPr="007C4B89">
        <w:rPr>
          <w:rStyle w:val="rvts9"/>
          <w:bCs/>
          <w:sz w:val="28"/>
          <w:szCs w:val="28"/>
          <w:shd w:val="clear" w:color="auto" w:fill="FFFFFF"/>
        </w:rPr>
        <w:t>та житлово-комунального</w:t>
      </w:r>
      <w:r w:rsidRPr="007C4B89">
        <w:rPr>
          <w:sz w:val="28"/>
          <w:szCs w:val="28"/>
        </w:rPr>
        <w:t xml:space="preserve"> </w:t>
      </w:r>
      <w:r w:rsidRPr="007C4B89">
        <w:rPr>
          <w:rStyle w:val="rvts9"/>
          <w:bCs/>
          <w:sz w:val="28"/>
          <w:szCs w:val="28"/>
          <w:shd w:val="clear" w:color="auto" w:fill="FFFFFF"/>
        </w:rPr>
        <w:t>господарства України</w:t>
      </w:r>
      <w:r w:rsidRPr="007C4B89">
        <w:rPr>
          <w:sz w:val="28"/>
          <w:szCs w:val="28"/>
        </w:rPr>
        <w:t xml:space="preserve"> </w:t>
      </w:r>
      <w:r w:rsidRPr="007C4B89">
        <w:rPr>
          <w:rStyle w:val="rvts9"/>
          <w:bCs/>
          <w:sz w:val="28"/>
          <w:szCs w:val="28"/>
          <w:shd w:val="clear" w:color="auto" w:fill="FFFFFF"/>
        </w:rPr>
        <w:t>27 липня 2018 року № 196)</w:t>
      </w:r>
      <w:r w:rsidRPr="007C4B89">
        <w:rPr>
          <w:rStyle w:val="rvts9"/>
          <w:b/>
          <w:bCs/>
          <w:sz w:val="28"/>
          <w:szCs w:val="28"/>
          <w:shd w:val="clear" w:color="auto" w:fill="FFFFFF"/>
        </w:rPr>
        <w:t xml:space="preserve"> </w:t>
      </w:r>
      <w:r w:rsidRPr="007C4B89">
        <w:rPr>
          <w:sz w:val="28"/>
          <w:szCs w:val="28"/>
        </w:rPr>
        <w:t xml:space="preserve">та зареєстрованого в Міністерстві юстиції України 16.08.2018 за № 931/32383, розмір кошторисної заробітної плати визначається замовником у складі вихідних даних на </w:t>
      </w:r>
      <w:proofErr w:type="spellStart"/>
      <w:r w:rsidRPr="007C4B89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7C4B89">
        <w:rPr>
          <w:sz w:val="28"/>
          <w:szCs w:val="28"/>
        </w:rPr>
        <w:t>ктування</w:t>
      </w:r>
      <w:proofErr w:type="spellEnd"/>
      <w:r w:rsidRPr="007C4B89">
        <w:rPr>
          <w:sz w:val="28"/>
          <w:szCs w:val="28"/>
        </w:rPr>
        <w:t xml:space="preserve"> для звичайних умов будівництва за розрядом складності 3,8, але не нижче ніж середньомісячна заробітна плата у будівництві (у розрахунку на одного штатного працівника) за попередній звітний рік, що оприлюднюється центральним органом виконавчої влади в галузі статистики, збільшена на прогнозний індекс споживчих цін на поточний рік (у середньому до попереднього року), який є складовою основних прогнозних </w:t>
      </w:r>
      <w:proofErr w:type="spellStart"/>
      <w:r w:rsidRPr="007C4B89">
        <w:rPr>
          <w:sz w:val="28"/>
          <w:szCs w:val="28"/>
        </w:rPr>
        <w:t>макропоказників</w:t>
      </w:r>
      <w:proofErr w:type="spellEnd"/>
      <w:r w:rsidRPr="007C4B89">
        <w:rPr>
          <w:sz w:val="28"/>
          <w:szCs w:val="28"/>
        </w:rPr>
        <w:t xml:space="preserve"> економічного і соціального розвитку України, що схвалюються Кабінетом Міністрів України.</w:t>
      </w:r>
    </w:p>
    <w:p w:rsidR="00D61A9C" w:rsidRPr="007F32CA" w:rsidRDefault="00D61A9C" w:rsidP="00D61A9C">
      <w:pPr>
        <w:ind w:firstLine="567"/>
        <w:jc w:val="both"/>
        <w:rPr>
          <w:sz w:val="28"/>
          <w:szCs w:val="28"/>
        </w:rPr>
      </w:pPr>
      <w:r w:rsidRPr="007F32CA">
        <w:rPr>
          <w:sz w:val="28"/>
          <w:szCs w:val="28"/>
        </w:rPr>
        <w:t>Середньомісячна заробітна плата у будівництві в 202</w:t>
      </w:r>
      <w:r>
        <w:rPr>
          <w:sz w:val="28"/>
          <w:szCs w:val="28"/>
        </w:rPr>
        <w:t>4</w:t>
      </w:r>
      <w:r w:rsidRPr="007F32CA">
        <w:rPr>
          <w:sz w:val="28"/>
          <w:szCs w:val="28"/>
        </w:rPr>
        <w:t xml:space="preserve"> році за даними Державної служби статистики України становила </w:t>
      </w:r>
      <w:r>
        <w:rPr>
          <w:sz w:val="28"/>
          <w:szCs w:val="28"/>
        </w:rPr>
        <w:t>16 928</w:t>
      </w:r>
      <w:r w:rsidRPr="007F32CA">
        <w:rPr>
          <w:sz w:val="28"/>
          <w:szCs w:val="28"/>
        </w:rPr>
        <w:t xml:space="preserve"> грн і прогнозний індекс споживчих цін згідно з постановою Кабінету Міністрів України від </w:t>
      </w:r>
      <w:r>
        <w:rPr>
          <w:sz w:val="28"/>
          <w:szCs w:val="28"/>
        </w:rPr>
        <w:t>28.06.2024</w:t>
      </w:r>
      <w:r w:rsidRPr="007F32CA">
        <w:rPr>
          <w:sz w:val="28"/>
          <w:szCs w:val="28"/>
        </w:rPr>
        <w:t xml:space="preserve">  № </w:t>
      </w:r>
      <w:r>
        <w:rPr>
          <w:sz w:val="28"/>
          <w:szCs w:val="28"/>
        </w:rPr>
        <w:t>780</w:t>
      </w:r>
      <w:r w:rsidRPr="007F32CA">
        <w:rPr>
          <w:sz w:val="28"/>
          <w:szCs w:val="28"/>
        </w:rPr>
        <w:t xml:space="preserve"> «</w:t>
      </w:r>
      <w:r w:rsidRPr="007F32CA">
        <w:rPr>
          <w:bCs/>
          <w:sz w:val="28"/>
          <w:szCs w:val="28"/>
          <w:shd w:val="clear" w:color="auto" w:fill="FFFFFF"/>
        </w:rPr>
        <w:t xml:space="preserve">Про схвалення основних прогнозних </w:t>
      </w:r>
      <w:proofErr w:type="spellStart"/>
      <w:r w:rsidRPr="007F32CA">
        <w:rPr>
          <w:bCs/>
          <w:sz w:val="28"/>
          <w:szCs w:val="28"/>
          <w:shd w:val="clear" w:color="auto" w:fill="FFFFFF"/>
        </w:rPr>
        <w:t>макропоказників</w:t>
      </w:r>
      <w:proofErr w:type="spellEnd"/>
      <w:r w:rsidRPr="007F32CA">
        <w:rPr>
          <w:bCs/>
          <w:sz w:val="28"/>
          <w:szCs w:val="28"/>
          <w:shd w:val="clear" w:color="auto" w:fill="FFFFFF"/>
        </w:rPr>
        <w:t xml:space="preserve"> економічного і соціального розвитку України на 202</w:t>
      </w:r>
      <w:r>
        <w:rPr>
          <w:bCs/>
          <w:sz w:val="28"/>
          <w:szCs w:val="28"/>
          <w:shd w:val="clear" w:color="auto" w:fill="FFFFFF"/>
        </w:rPr>
        <w:t>5</w:t>
      </w:r>
      <w:r w:rsidRPr="007F32CA">
        <w:rPr>
          <w:bCs/>
          <w:sz w:val="28"/>
          <w:szCs w:val="28"/>
          <w:shd w:val="clear" w:color="auto" w:fill="FFFFFF"/>
        </w:rPr>
        <w:t>-202</w:t>
      </w:r>
      <w:r>
        <w:rPr>
          <w:bCs/>
          <w:sz w:val="28"/>
          <w:szCs w:val="28"/>
          <w:shd w:val="clear" w:color="auto" w:fill="FFFFFF"/>
        </w:rPr>
        <w:t>7</w:t>
      </w:r>
      <w:r w:rsidRPr="007F32CA">
        <w:rPr>
          <w:bCs/>
          <w:sz w:val="28"/>
          <w:szCs w:val="28"/>
          <w:shd w:val="clear" w:color="auto" w:fill="FFFFFF"/>
        </w:rPr>
        <w:t xml:space="preserve"> роки</w:t>
      </w:r>
      <w:r w:rsidRPr="007F32CA">
        <w:rPr>
          <w:sz w:val="28"/>
          <w:szCs w:val="28"/>
        </w:rPr>
        <w:t xml:space="preserve">» складає </w:t>
      </w:r>
      <w:r>
        <w:rPr>
          <w:sz w:val="28"/>
          <w:szCs w:val="28"/>
        </w:rPr>
        <w:t>109,7</w:t>
      </w:r>
      <w:r w:rsidRPr="007F32CA">
        <w:rPr>
          <w:sz w:val="28"/>
          <w:szCs w:val="28"/>
        </w:rPr>
        <w:t>%.</w:t>
      </w:r>
    </w:p>
    <w:p w:rsidR="00D61A9C" w:rsidRPr="007C4B89" w:rsidRDefault="00D61A9C" w:rsidP="00D61A9C">
      <w:pPr>
        <w:ind w:firstLine="567"/>
        <w:jc w:val="both"/>
        <w:rPr>
          <w:sz w:val="28"/>
          <w:szCs w:val="28"/>
        </w:rPr>
      </w:pPr>
      <w:r w:rsidRPr="007C4B89">
        <w:rPr>
          <w:sz w:val="28"/>
          <w:szCs w:val="28"/>
        </w:rPr>
        <w:t>Враховуючи вищевикладене в 202</w:t>
      </w:r>
      <w:r>
        <w:rPr>
          <w:sz w:val="28"/>
          <w:szCs w:val="28"/>
        </w:rPr>
        <w:t>5</w:t>
      </w:r>
      <w:r w:rsidRPr="007C4B89">
        <w:rPr>
          <w:sz w:val="28"/>
          <w:szCs w:val="28"/>
        </w:rPr>
        <w:t xml:space="preserve"> році розмір кошторисної заробітної плати</w:t>
      </w:r>
      <w:r>
        <w:rPr>
          <w:sz w:val="28"/>
          <w:szCs w:val="28"/>
        </w:rPr>
        <w:t xml:space="preserve"> для звичайних умов будівництва за розрядом складності робіт 3,8</w:t>
      </w:r>
      <w:r w:rsidRPr="007C4B89">
        <w:rPr>
          <w:sz w:val="28"/>
          <w:szCs w:val="28"/>
        </w:rPr>
        <w:t xml:space="preserve"> має бути не нижче ніж </w:t>
      </w:r>
      <w:r>
        <w:rPr>
          <w:sz w:val="28"/>
          <w:szCs w:val="28"/>
        </w:rPr>
        <w:t>18 570,02</w:t>
      </w:r>
      <w:r w:rsidRPr="007C4B89">
        <w:rPr>
          <w:sz w:val="28"/>
          <w:szCs w:val="28"/>
        </w:rPr>
        <w:t xml:space="preserve"> гривень. </w:t>
      </w:r>
    </w:p>
    <w:p w:rsidR="00D61A9C" w:rsidRPr="007C4B89" w:rsidRDefault="00D61A9C" w:rsidP="00D61A9C">
      <w:pPr>
        <w:ind w:firstLine="567"/>
        <w:jc w:val="both"/>
        <w:rPr>
          <w:sz w:val="28"/>
          <w:szCs w:val="28"/>
        </w:rPr>
      </w:pPr>
      <w:r w:rsidRPr="007C4B89">
        <w:rPr>
          <w:sz w:val="28"/>
          <w:szCs w:val="28"/>
        </w:rPr>
        <w:t>Згідно з цим в 202</w:t>
      </w:r>
      <w:r>
        <w:rPr>
          <w:sz w:val="28"/>
          <w:szCs w:val="28"/>
        </w:rPr>
        <w:t>5</w:t>
      </w:r>
      <w:r w:rsidRPr="007C4B89">
        <w:rPr>
          <w:sz w:val="28"/>
          <w:szCs w:val="28"/>
        </w:rPr>
        <w:t xml:space="preserve"> році розмір кошторисної заробітної плати приймаємо                  </w:t>
      </w:r>
      <w:r>
        <w:rPr>
          <w:sz w:val="28"/>
          <w:szCs w:val="28"/>
        </w:rPr>
        <w:t>18 571</w:t>
      </w:r>
      <w:r w:rsidRPr="007C4B89">
        <w:rPr>
          <w:sz w:val="28"/>
          <w:szCs w:val="28"/>
        </w:rPr>
        <w:t xml:space="preserve"> грив</w:t>
      </w:r>
      <w:r>
        <w:rPr>
          <w:sz w:val="28"/>
          <w:szCs w:val="28"/>
        </w:rPr>
        <w:t>ня</w:t>
      </w:r>
      <w:r w:rsidRPr="007C4B89">
        <w:rPr>
          <w:sz w:val="28"/>
          <w:szCs w:val="28"/>
        </w:rPr>
        <w:t>.</w:t>
      </w:r>
    </w:p>
    <w:p w:rsidR="00D61A9C" w:rsidRPr="007C4B89" w:rsidRDefault="00D61A9C" w:rsidP="00D61A9C">
      <w:pPr>
        <w:ind w:firstLine="567"/>
        <w:jc w:val="both"/>
        <w:rPr>
          <w:sz w:val="28"/>
          <w:szCs w:val="28"/>
        </w:rPr>
      </w:pPr>
    </w:p>
    <w:p w:rsidR="00D61A9C" w:rsidRPr="007C4B89" w:rsidRDefault="00D61A9C" w:rsidP="00D61A9C">
      <w:pPr>
        <w:jc w:val="both"/>
        <w:rPr>
          <w:sz w:val="28"/>
          <w:szCs w:val="28"/>
        </w:rPr>
      </w:pPr>
      <w:r w:rsidRPr="007C4B89">
        <w:rPr>
          <w:sz w:val="28"/>
          <w:szCs w:val="28"/>
        </w:rPr>
        <w:t xml:space="preserve">Начальник відділу забезпечення </w:t>
      </w:r>
    </w:p>
    <w:p w:rsidR="00D61A9C" w:rsidRPr="007C4B89" w:rsidRDefault="00D61A9C" w:rsidP="00D61A9C">
      <w:pPr>
        <w:jc w:val="both"/>
        <w:rPr>
          <w:sz w:val="28"/>
          <w:szCs w:val="28"/>
        </w:rPr>
      </w:pPr>
      <w:r w:rsidRPr="007C4B89">
        <w:rPr>
          <w:sz w:val="28"/>
          <w:szCs w:val="28"/>
        </w:rPr>
        <w:t>будівництва технічною документацією</w:t>
      </w:r>
      <w:r w:rsidRPr="007C4B89">
        <w:rPr>
          <w:sz w:val="28"/>
          <w:szCs w:val="28"/>
        </w:rPr>
        <w:tab/>
      </w:r>
      <w:r w:rsidRPr="007C4B89">
        <w:rPr>
          <w:sz w:val="28"/>
          <w:szCs w:val="28"/>
        </w:rPr>
        <w:tab/>
      </w:r>
      <w:r w:rsidRPr="007C4B89">
        <w:rPr>
          <w:sz w:val="28"/>
          <w:szCs w:val="28"/>
        </w:rPr>
        <w:tab/>
        <w:t xml:space="preserve"> </w:t>
      </w:r>
      <w:bookmarkStart w:id="0" w:name="_GoBack"/>
      <w:bookmarkEnd w:id="0"/>
      <w:r w:rsidRPr="007C4B89">
        <w:rPr>
          <w:sz w:val="28"/>
          <w:szCs w:val="28"/>
        </w:rPr>
        <w:t xml:space="preserve">  Тетяна БАГЛАЙ</w:t>
      </w:r>
    </w:p>
    <w:p w:rsidR="00D61A9C" w:rsidRPr="0061243A" w:rsidRDefault="00D61A9C" w:rsidP="006F795F">
      <w:pPr>
        <w:widowControl w:val="0"/>
        <w:jc w:val="both"/>
        <w:rPr>
          <w:sz w:val="28"/>
          <w:szCs w:val="28"/>
        </w:rPr>
      </w:pPr>
    </w:p>
    <w:sectPr w:rsidR="00D61A9C" w:rsidRPr="0061243A" w:rsidSect="00F04109">
      <w:headerReference w:type="even" r:id="rId8"/>
      <w:headerReference w:type="default" r:id="rId9"/>
      <w:headerReference w:type="first" r:id="rId10"/>
      <w:pgSz w:w="11907" w:h="16840" w:code="9"/>
      <w:pgMar w:top="1134" w:right="850" w:bottom="851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3E" w:rsidRDefault="007A533E">
      <w:r>
        <w:separator/>
      </w:r>
    </w:p>
  </w:endnote>
  <w:endnote w:type="continuationSeparator" w:id="0">
    <w:p w:rsidR="007A533E" w:rsidRDefault="007A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3E" w:rsidRDefault="007A533E">
      <w:r>
        <w:separator/>
      </w:r>
    </w:p>
  </w:footnote>
  <w:footnote w:type="continuationSeparator" w:id="0">
    <w:p w:rsidR="007A533E" w:rsidRDefault="007A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8D" w:rsidRDefault="0092638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38D" w:rsidRDefault="00926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8D" w:rsidRDefault="0092638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8D" w:rsidRDefault="0092638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5" name="Рисунок 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15DDD"/>
    <w:rsid w:val="000163DC"/>
    <w:rsid w:val="000245CB"/>
    <w:rsid w:val="00027979"/>
    <w:rsid w:val="000329DD"/>
    <w:rsid w:val="00032E25"/>
    <w:rsid w:val="00047892"/>
    <w:rsid w:val="00063F4B"/>
    <w:rsid w:val="00073C40"/>
    <w:rsid w:val="00080ECA"/>
    <w:rsid w:val="000823B4"/>
    <w:rsid w:val="00090335"/>
    <w:rsid w:val="000B5BA8"/>
    <w:rsid w:val="000D11D7"/>
    <w:rsid w:val="000D1C16"/>
    <w:rsid w:val="000D45E1"/>
    <w:rsid w:val="000D7464"/>
    <w:rsid w:val="000E1985"/>
    <w:rsid w:val="000E57E5"/>
    <w:rsid w:val="000E6775"/>
    <w:rsid w:val="0010354B"/>
    <w:rsid w:val="001037E9"/>
    <w:rsid w:val="00116930"/>
    <w:rsid w:val="00125348"/>
    <w:rsid w:val="00130556"/>
    <w:rsid w:val="0013514A"/>
    <w:rsid w:val="001453E5"/>
    <w:rsid w:val="00151050"/>
    <w:rsid w:val="0016429B"/>
    <w:rsid w:val="0016458F"/>
    <w:rsid w:val="0016560E"/>
    <w:rsid w:val="00170C56"/>
    <w:rsid w:val="001A4AE2"/>
    <w:rsid w:val="001A5B49"/>
    <w:rsid w:val="001A5B9E"/>
    <w:rsid w:val="001A6878"/>
    <w:rsid w:val="001B1CCA"/>
    <w:rsid w:val="001B2687"/>
    <w:rsid w:val="001B5E2B"/>
    <w:rsid w:val="001C2567"/>
    <w:rsid w:val="001E1DAD"/>
    <w:rsid w:val="001E52AF"/>
    <w:rsid w:val="001F55CE"/>
    <w:rsid w:val="002220B4"/>
    <w:rsid w:val="0022636D"/>
    <w:rsid w:val="00235147"/>
    <w:rsid w:val="0024653F"/>
    <w:rsid w:val="00252862"/>
    <w:rsid w:val="00254306"/>
    <w:rsid w:val="002639B6"/>
    <w:rsid w:val="002644C0"/>
    <w:rsid w:val="00266D60"/>
    <w:rsid w:val="00276914"/>
    <w:rsid w:val="00291F3A"/>
    <w:rsid w:val="002A2BF9"/>
    <w:rsid w:val="002B33F7"/>
    <w:rsid w:val="002C1866"/>
    <w:rsid w:val="002D5932"/>
    <w:rsid w:val="002D66D7"/>
    <w:rsid w:val="002E1BC5"/>
    <w:rsid w:val="002E2439"/>
    <w:rsid w:val="002F2C55"/>
    <w:rsid w:val="0030007D"/>
    <w:rsid w:val="0030283B"/>
    <w:rsid w:val="00320556"/>
    <w:rsid w:val="00333E19"/>
    <w:rsid w:val="003352CD"/>
    <w:rsid w:val="00364D3D"/>
    <w:rsid w:val="00367328"/>
    <w:rsid w:val="00383178"/>
    <w:rsid w:val="003936AB"/>
    <w:rsid w:val="003A2484"/>
    <w:rsid w:val="003A4825"/>
    <w:rsid w:val="003B7419"/>
    <w:rsid w:val="003B77EC"/>
    <w:rsid w:val="003C54AA"/>
    <w:rsid w:val="003D47AD"/>
    <w:rsid w:val="003D5173"/>
    <w:rsid w:val="003D7533"/>
    <w:rsid w:val="003E06F7"/>
    <w:rsid w:val="003F52C5"/>
    <w:rsid w:val="003F6204"/>
    <w:rsid w:val="00404B27"/>
    <w:rsid w:val="00415925"/>
    <w:rsid w:val="00422762"/>
    <w:rsid w:val="00425526"/>
    <w:rsid w:val="004350F6"/>
    <w:rsid w:val="00444BF8"/>
    <w:rsid w:val="00446896"/>
    <w:rsid w:val="00450AB2"/>
    <w:rsid w:val="004512DE"/>
    <w:rsid w:val="00455859"/>
    <w:rsid w:val="00464AED"/>
    <w:rsid w:val="00470C5E"/>
    <w:rsid w:val="0048758C"/>
    <w:rsid w:val="004902CF"/>
    <w:rsid w:val="00490577"/>
    <w:rsid w:val="00493CF5"/>
    <w:rsid w:val="004A41A3"/>
    <w:rsid w:val="004A4C8F"/>
    <w:rsid w:val="004A5429"/>
    <w:rsid w:val="004B15F7"/>
    <w:rsid w:val="004B378D"/>
    <w:rsid w:val="004C7763"/>
    <w:rsid w:val="004D2792"/>
    <w:rsid w:val="004D5C12"/>
    <w:rsid w:val="004D6F41"/>
    <w:rsid w:val="004F0450"/>
    <w:rsid w:val="004F0EBB"/>
    <w:rsid w:val="00505466"/>
    <w:rsid w:val="005147BE"/>
    <w:rsid w:val="00516014"/>
    <w:rsid w:val="005175C0"/>
    <w:rsid w:val="00523C44"/>
    <w:rsid w:val="005534B6"/>
    <w:rsid w:val="005667FA"/>
    <w:rsid w:val="0057318A"/>
    <w:rsid w:val="005745C8"/>
    <w:rsid w:val="005A076A"/>
    <w:rsid w:val="005A4BC1"/>
    <w:rsid w:val="005A7DD0"/>
    <w:rsid w:val="005B42F8"/>
    <w:rsid w:val="005B5CB2"/>
    <w:rsid w:val="005C27A8"/>
    <w:rsid w:val="005C2940"/>
    <w:rsid w:val="005C6B91"/>
    <w:rsid w:val="005D4073"/>
    <w:rsid w:val="00604676"/>
    <w:rsid w:val="00610569"/>
    <w:rsid w:val="00611899"/>
    <w:rsid w:val="0061243A"/>
    <w:rsid w:val="006203B1"/>
    <w:rsid w:val="00621ABC"/>
    <w:rsid w:val="0063342C"/>
    <w:rsid w:val="00634A16"/>
    <w:rsid w:val="00634DE5"/>
    <w:rsid w:val="0064447B"/>
    <w:rsid w:val="006473EC"/>
    <w:rsid w:val="00656305"/>
    <w:rsid w:val="00666AC7"/>
    <w:rsid w:val="00675B8D"/>
    <w:rsid w:val="00690DF5"/>
    <w:rsid w:val="00691CF1"/>
    <w:rsid w:val="00694BF5"/>
    <w:rsid w:val="00696923"/>
    <w:rsid w:val="006971C1"/>
    <w:rsid w:val="00697B21"/>
    <w:rsid w:val="006A3F15"/>
    <w:rsid w:val="006A6EFB"/>
    <w:rsid w:val="006A7D5A"/>
    <w:rsid w:val="006B0768"/>
    <w:rsid w:val="006B45A5"/>
    <w:rsid w:val="006D054A"/>
    <w:rsid w:val="006D20EF"/>
    <w:rsid w:val="006D74AF"/>
    <w:rsid w:val="006E2565"/>
    <w:rsid w:val="006E6321"/>
    <w:rsid w:val="006F13EA"/>
    <w:rsid w:val="006F17EA"/>
    <w:rsid w:val="006F1FA7"/>
    <w:rsid w:val="006F2B06"/>
    <w:rsid w:val="006F795F"/>
    <w:rsid w:val="007072A4"/>
    <w:rsid w:val="00720265"/>
    <w:rsid w:val="00725870"/>
    <w:rsid w:val="0073462C"/>
    <w:rsid w:val="007429C1"/>
    <w:rsid w:val="007453F2"/>
    <w:rsid w:val="007474CF"/>
    <w:rsid w:val="007813F2"/>
    <w:rsid w:val="00781E84"/>
    <w:rsid w:val="00791B4F"/>
    <w:rsid w:val="00792001"/>
    <w:rsid w:val="00794209"/>
    <w:rsid w:val="00794304"/>
    <w:rsid w:val="007A4B4A"/>
    <w:rsid w:val="007A4DBC"/>
    <w:rsid w:val="007A533E"/>
    <w:rsid w:val="007B0880"/>
    <w:rsid w:val="007B6EF7"/>
    <w:rsid w:val="007C0425"/>
    <w:rsid w:val="007C1149"/>
    <w:rsid w:val="007D6BA1"/>
    <w:rsid w:val="007E7E1D"/>
    <w:rsid w:val="007F02F8"/>
    <w:rsid w:val="007F1287"/>
    <w:rsid w:val="007F31EF"/>
    <w:rsid w:val="008039A3"/>
    <w:rsid w:val="008123AD"/>
    <w:rsid w:val="00812F1F"/>
    <w:rsid w:val="00813C3D"/>
    <w:rsid w:val="00814912"/>
    <w:rsid w:val="00817282"/>
    <w:rsid w:val="00832A1F"/>
    <w:rsid w:val="00835604"/>
    <w:rsid w:val="00840DB6"/>
    <w:rsid w:val="00851936"/>
    <w:rsid w:val="00851C60"/>
    <w:rsid w:val="00852C73"/>
    <w:rsid w:val="008542B1"/>
    <w:rsid w:val="00860094"/>
    <w:rsid w:val="00862599"/>
    <w:rsid w:val="00864A32"/>
    <w:rsid w:val="00865677"/>
    <w:rsid w:val="0086797B"/>
    <w:rsid w:val="0087366C"/>
    <w:rsid w:val="00882329"/>
    <w:rsid w:val="008972D6"/>
    <w:rsid w:val="00897D1F"/>
    <w:rsid w:val="008A5864"/>
    <w:rsid w:val="008A7B87"/>
    <w:rsid w:val="008B230B"/>
    <w:rsid w:val="008B27B0"/>
    <w:rsid w:val="008C5AA2"/>
    <w:rsid w:val="008C5EC1"/>
    <w:rsid w:val="008C7BA7"/>
    <w:rsid w:val="008E0AF7"/>
    <w:rsid w:val="008E209E"/>
    <w:rsid w:val="008E71FF"/>
    <w:rsid w:val="008F10E6"/>
    <w:rsid w:val="008F4353"/>
    <w:rsid w:val="009038CB"/>
    <w:rsid w:val="0092638D"/>
    <w:rsid w:val="00932AC8"/>
    <w:rsid w:val="00933303"/>
    <w:rsid w:val="0093500F"/>
    <w:rsid w:val="0093718A"/>
    <w:rsid w:val="00961EEC"/>
    <w:rsid w:val="009641E8"/>
    <w:rsid w:val="009741A1"/>
    <w:rsid w:val="0098183E"/>
    <w:rsid w:val="00983FD4"/>
    <w:rsid w:val="00986FB8"/>
    <w:rsid w:val="00990F5B"/>
    <w:rsid w:val="009B17F3"/>
    <w:rsid w:val="009B394B"/>
    <w:rsid w:val="009C395D"/>
    <w:rsid w:val="009D3EF2"/>
    <w:rsid w:val="009F3B77"/>
    <w:rsid w:val="009F3D3B"/>
    <w:rsid w:val="00A018D7"/>
    <w:rsid w:val="00A01A8E"/>
    <w:rsid w:val="00A0634F"/>
    <w:rsid w:val="00A11051"/>
    <w:rsid w:val="00A1196A"/>
    <w:rsid w:val="00A14156"/>
    <w:rsid w:val="00A15BD9"/>
    <w:rsid w:val="00A227D6"/>
    <w:rsid w:val="00A325F5"/>
    <w:rsid w:val="00A405A8"/>
    <w:rsid w:val="00A42B7C"/>
    <w:rsid w:val="00A50D6D"/>
    <w:rsid w:val="00A5376E"/>
    <w:rsid w:val="00A64859"/>
    <w:rsid w:val="00A76C94"/>
    <w:rsid w:val="00A77430"/>
    <w:rsid w:val="00A96FD1"/>
    <w:rsid w:val="00AB609A"/>
    <w:rsid w:val="00AC06E9"/>
    <w:rsid w:val="00AC2A0B"/>
    <w:rsid w:val="00AC6DEA"/>
    <w:rsid w:val="00AD62AC"/>
    <w:rsid w:val="00AE20C7"/>
    <w:rsid w:val="00B04C05"/>
    <w:rsid w:val="00B137F9"/>
    <w:rsid w:val="00B227BB"/>
    <w:rsid w:val="00B2446F"/>
    <w:rsid w:val="00B464DA"/>
    <w:rsid w:val="00B47773"/>
    <w:rsid w:val="00B54E72"/>
    <w:rsid w:val="00B60A0C"/>
    <w:rsid w:val="00B6142B"/>
    <w:rsid w:val="00B63FDF"/>
    <w:rsid w:val="00B659A5"/>
    <w:rsid w:val="00B66500"/>
    <w:rsid w:val="00B721A9"/>
    <w:rsid w:val="00B831EF"/>
    <w:rsid w:val="00B84CCE"/>
    <w:rsid w:val="00B9203B"/>
    <w:rsid w:val="00B9214C"/>
    <w:rsid w:val="00BB0D31"/>
    <w:rsid w:val="00BC507E"/>
    <w:rsid w:val="00BD091D"/>
    <w:rsid w:val="00BE59C3"/>
    <w:rsid w:val="00BE6346"/>
    <w:rsid w:val="00BF4F8D"/>
    <w:rsid w:val="00BF6873"/>
    <w:rsid w:val="00C02E5D"/>
    <w:rsid w:val="00C07555"/>
    <w:rsid w:val="00C10A71"/>
    <w:rsid w:val="00C11375"/>
    <w:rsid w:val="00C32BA2"/>
    <w:rsid w:val="00C40006"/>
    <w:rsid w:val="00C46072"/>
    <w:rsid w:val="00C47080"/>
    <w:rsid w:val="00C63D7F"/>
    <w:rsid w:val="00C83104"/>
    <w:rsid w:val="00C869AF"/>
    <w:rsid w:val="00CA00B5"/>
    <w:rsid w:val="00CA72C2"/>
    <w:rsid w:val="00CB1252"/>
    <w:rsid w:val="00CC4AF9"/>
    <w:rsid w:val="00CC624F"/>
    <w:rsid w:val="00CD1F5F"/>
    <w:rsid w:val="00CE04CF"/>
    <w:rsid w:val="00CF4DD4"/>
    <w:rsid w:val="00CF59D6"/>
    <w:rsid w:val="00CF5C4B"/>
    <w:rsid w:val="00CF792E"/>
    <w:rsid w:val="00D023AF"/>
    <w:rsid w:val="00D13BFF"/>
    <w:rsid w:val="00D15D4E"/>
    <w:rsid w:val="00D2011E"/>
    <w:rsid w:val="00D270F0"/>
    <w:rsid w:val="00D35BEC"/>
    <w:rsid w:val="00D42D84"/>
    <w:rsid w:val="00D61A9C"/>
    <w:rsid w:val="00D61B17"/>
    <w:rsid w:val="00D61F3E"/>
    <w:rsid w:val="00D710C7"/>
    <w:rsid w:val="00D71486"/>
    <w:rsid w:val="00D80F42"/>
    <w:rsid w:val="00D83309"/>
    <w:rsid w:val="00D84998"/>
    <w:rsid w:val="00D8524B"/>
    <w:rsid w:val="00D960CA"/>
    <w:rsid w:val="00DA61ED"/>
    <w:rsid w:val="00DA6E9F"/>
    <w:rsid w:val="00DB4827"/>
    <w:rsid w:val="00DC4825"/>
    <w:rsid w:val="00DE21FA"/>
    <w:rsid w:val="00DE6C46"/>
    <w:rsid w:val="00DE7076"/>
    <w:rsid w:val="00E045C4"/>
    <w:rsid w:val="00E11544"/>
    <w:rsid w:val="00E16278"/>
    <w:rsid w:val="00E37096"/>
    <w:rsid w:val="00E413E7"/>
    <w:rsid w:val="00E552F4"/>
    <w:rsid w:val="00E6165F"/>
    <w:rsid w:val="00E6333C"/>
    <w:rsid w:val="00E6445C"/>
    <w:rsid w:val="00E72268"/>
    <w:rsid w:val="00E72BB6"/>
    <w:rsid w:val="00E80A85"/>
    <w:rsid w:val="00E82273"/>
    <w:rsid w:val="00E862E7"/>
    <w:rsid w:val="00E867C8"/>
    <w:rsid w:val="00EA0675"/>
    <w:rsid w:val="00EA0DD7"/>
    <w:rsid w:val="00EC25AA"/>
    <w:rsid w:val="00EC293E"/>
    <w:rsid w:val="00EC71CC"/>
    <w:rsid w:val="00ED3821"/>
    <w:rsid w:val="00EF55E0"/>
    <w:rsid w:val="00EF56AE"/>
    <w:rsid w:val="00F04109"/>
    <w:rsid w:val="00F1077D"/>
    <w:rsid w:val="00F12C37"/>
    <w:rsid w:val="00F25E64"/>
    <w:rsid w:val="00F3187A"/>
    <w:rsid w:val="00F35199"/>
    <w:rsid w:val="00F36440"/>
    <w:rsid w:val="00F40D1F"/>
    <w:rsid w:val="00F456DB"/>
    <w:rsid w:val="00F50E4C"/>
    <w:rsid w:val="00F53873"/>
    <w:rsid w:val="00F60278"/>
    <w:rsid w:val="00F666C5"/>
    <w:rsid w:val="00F6783C"/>
    <w:rsid w:val="00F83665"/>
    <w:rsid w:val="00F86C0F"/>
    <w:rsid w:val="00F929AD"/>
    <w:rsid w:val="00F92DFC"/>
    <w:rsid w:val="00FB653A"/>
    <w:rsid w:val="00FC5B81"/>
    <w:rsid w:val="00FD41F6"/>
    <w:rsid w:val="00FD71CE"/>
    <w:rsid w:val="00FF0E8F"/>
    <w:rsid w:val="00FF2A20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B6792"/>
  <w15:docId w15:val="{1F6A4C58-D598-4957-B27B-5995BC32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customStyle="1" w:styleId="rvts9">
    <w:name w:val="rvts9"/>
    <w:basedOn w:val="a0"/>
    <w:rsid w:val="00B6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AB0B-4C93-42B2-A728-A801619F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4</cp:revision>
  <cp:lastPrinted>2025-03-10T09:38:00Z</cp:lastPrinted>
  <dcterms:created xsi:type="dcterms:W3CDTF">2025-03-10T09:39:00Z</dcterms:created>
  <dcterms:modified xsi:type="dcterms:W3CDTF">2025-03-10T13:14:00Z</dcterms:modified>
</cp:coreProperties>
</file>